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3.950/2006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2006 · Data 03/03/2006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ABERTURA DE CRÉDITO ADICIONAL ESPECIAL NO VALOR DE R$ 35.100,00.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3.950, DE 3 DE MARÇO DE 2006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PUBLICADO NO DIÁRIO OFICIAL DO MUNICÍPIO EM 04/03/2006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ABERTURA DE CRÉDITO ADICIONAL ESPECIAL NO VALOR DE R$ 35.100,00.)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Fica o Poder Executivo autorizado a abrir crédito adicional especial na Secretaria Municipal de Finanças e Controladoria, no valor de R$ 35.100,000 (Trinta e cinco mil e cem reais) destinados à aquisição de Equipamentos para “Patrulha Mecanizada”.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ÓRGÃO: 02.12 - SECRETARIA MUNICIPAL DE DESENVOLVIMENTO ECONOMICO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UNIDADE ORÇAMENTÁRIA: 02.12.02 – Divisão de Apoio à Agricultura e Produção Rural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4.0.00.00 DESPESAS DE CAPITAL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4.4.00.00 INVESTIMENTOS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4.4.90.00 Aplicações Diretas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4.4.90.52 206060025.2.51 Equipamentos e Material Permanente.....R$ 35.100,00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TOTAL................................................................R$ 35.100,00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A cobertura do crédito autorizado pelo artigo 1º, será efetuada mediante a utilização dos recursos nos termos previstos no artigo 43, § 1º, inciso II da </w:t>
      </w:r>
      <w:r>
        <w:rPr>
          <w:rFonts w:ascii="Arial" w:hAnsi="Arial" w:eastAsia="Arial" w:cs="Arial"/>
        </w:rPr>
        <w:t xml:space="preserve">Lei Federal nº 4.320/64</w:t>
      </w:r>
      <w:r>
        <w:rPr>
          <w:rFonts w:ascii="Arial" w:hAnsi="Arial" w:eastAsia="Arial" w:cs="Arial"/>
        </w:rPr>
        <w:t xml:space="preserve">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3º</w:t>
      </w:r>
      <w:r>
        <w:rPr>
          <w:rFonts w:ascii="Arial" w:hAnsi="Arial" w:eastAsia="Arial" w:cs="Arial"/>
        </w:rPr>
        <w:t xml:space="preserve"> Os recursos financeiros para cobertura desta lei serão por fonte de recursos 5 – TRANSFERÊNCIAS E CONVÊNIOS FEDERAIS – VINCULADOS.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"Dr. Tancredo de Almeida Neves", 03 de março de 2006.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CARLOS EDUARDO PIGNATARI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https://camaravotuporanga.sp.gov.br/legislacao/3952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28/06/2026 19:09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2026-06-28T19:09:32-03:00</dcterms:created>
  <dcterms:modified xsi:type="dcterms:W3CDTF">2026-06-28T19:09:32-03:00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