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Kicker"/>
      </w:pPr>
      <w:r>
        <w:rPr>
          <w:rFonts w:ascii="Arial" w:hAnsi="Arial" w:eastAsia="Arial" w:cs="Arial"/>
          <w:color w:val="64748B"/>
          <w:sz w:val="16"/>
          <w:szCs w:val="16"/>
        </w:rPr>
        <w:t xml:space="preserve">LEGISLAÇÃO</w:t>
      </w:r>
    </w:p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LEI ORDINÁRIA Nº 4.329/2007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Ano 2007 · Data 12/12/2007 · Status EM VIGOR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Ementa: AUTORIZA O PODER EXECUTIVO A REPASSAR RECURSOS FINANCEIROS ÀS ENTIDADES ASSISTENCIAIS E DÁ OUTRAS PROVIDÊNCIAS.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LEI ORDINÁRIA Nº 4.329, DE 12 DE DEZEMBRO DE 2007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(AUTORIZA O PODER EXECUTIVO A REPASSAR RECURSOS FINANCEIROS ÀS ENTIDADES ASSISTENCIAIS E DÁ OUTRAS PROVIDÊNCIAS.)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FAÇO SABER QUE A CÂMARA MUNICIPAL DE VOTUPORANGA APROVOU E EU, NOS TERMOS DO ARTIGO 53, III DA LEI ORGÂNICA DO MUNICÍPIO, SANCIONO E PROMULGO A SEGUINTE LEI: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1º</w:t>
      </w:r>
      <w:r>
        <w:rPr>
          <w:rFonts w:ascii="Arial" w:hAnsi="Arial" w:eastAsia="Arial" w:cs="Arial"/>
        </w:rPr>
        <w:t xml:space="preserve"> Fica o Poder Executivo autorizado a repassar recursos financeiros, no valor de R$ 10.820,00 (dez mil, oitocentos e vinte reais), à entidades abaixo relacionadas:</w:t>
      </w:r>
    </w:p>
    <w:tbl>
      <w:tblGrid>
        <w:gridCol/>
        <w:gridCol/>
      </w:tblGrid>
      <w:tblPr>
        <w:jc w:val="center"/>
        <w:tblW w:w="0" w:type="auto"/>
        <w:tblCellSpacing w:w="15" w:type="dxa"/>
        <w:tblLayout w:type="autofit"/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noWrap/>
          </w:tcPr>
          <w:p>
            <w:pPr>
              <w:jc w:val="center"/>
              <w:spacing w:line="360" w:lineRule="auto"/>
            </w:pPr>
            <w:r>
              <w:rPr>
                <w:rFonts w:ascii="Arial" w:hAnsi="Arial" w:eastAsia="Arial" w:cs="Arial"/>
              </w:rPr>
              <w:t xml:space="preserve">ENTIDADES</w:t>
            </w:r>
          </w:p>
        </w:tc>
        <w:tc>
          <w:tcPr>
            <w:noWrap/>
          </w:tcPr>
          <w:p>
            <w:pPr>
              <w:jc w:val="center"/>
              <w:spacing w:line="360" w:lineRule="auto"/>
            </w:pPr>
            <w:r>
              <w:rPr>
                <w:rFonts w:ascii="Arial" w:hAnsi="Arial" w:eastAsia="Arial" w:cs="Arial"/>
              </w:rPr>
              <w:t xml:space="preserve">VALOR</w:t>
            </w:r>
          </w:p>
        </w:tc>
      </w:tr>
      <w:tr>
        <w:trPr/>
        <w:tc>
          <w:tcPr>
            <w:noWrap/>
          </w:tcPr>
          <w:p>
            <w:pPr>
              <w:jc w:val="start"/>
              <w:spacing w:line="360" w:lineRule="auto"/>
            </w:pPr>
            <w:r>
              <w:rPr>
                <w:rFonts w:ascii="Arial" w:hAnsi="Arial" w:eastAsia="Arial" w:cs="Arial"/>
              </w:rPr>
              <w:t xml:space="preserve">Lar do Velhinho de Votuporanga</w:t>
            </w:r>
          </w:p>
        </w:tc>
        <w:tc>
          <w:tcPr>
            <w:noWrap/>
          </w:tcPr>
          <w:p>
            <w:pPr>
              <w:jc w:val="start"/>
              <w:spacing w:line="360" w:lineRule="auto"/>
            </w:pPr>
            <w:r>
              <w:rPr>
                <w:rFonts w:ascii="Arial" w:hAnsi="Arial" w:eastAsia="Arial" w:cs="Arial"/>
              </w:rPr>
              <w:t xml:space="preserve">R$ 2.500,00</w:t>
            </w:r>
          </w:p>
        </w:tc>
      </w:tr>
      <w:tr>
        <w:trPr/>
        <w:tc>
          <w:tcPr>
            <w:noWrap/>
          </w:tcPr>
          <w:p>
            <w:pPr>
              <w:jc w:val="start"/>
              <w:spacing w:line="360" w:lineRule="auto"/>
            </w:pPr>
            <w:r>
              <w:rPr>
                <w:rFonts w:ascii="Arial" w:hAnsi="Arial" w:eastAsia="Arial" w:cs="Arial"/>
              </w:rPr>
              <w:t xml:space="preserve">Lar São Vicente de Paulo de Votuporanga</w:t>
            </w:r>
          </w:p>
        </w:tc>
        <w:tc>
          <w:tcPr>
            <w:noWrap/>
          </w:tcPr>
          <w:p>
            <w:pPr>
              <w:jc w:val="start"/>
              <w:spacing w:line="360" w:lineRule="auto"/>
            </w:pPr>
            <w:r>
              <w:rPr>
                <w:rFonts w:ascii="Arial" w:hAnsi="Arial" w:eastAsia="Arial" w:cs="Arial"/>
              </w:rPr>
              <w:t xml:space="preserve">R$ 3.720,00</w:t>
            </w:r>
          </w:p>
        </w:tc>
      </w:tr>
      <w:tr>
        <w:trPr/>
        <w:tc>
          <w:tcPr>
            <w:noWrap/>
          </w:tcPr>
          <w:p>
            <w:pPr>
              <w:jc w:val="start"/>
              <w:spacing w:line="360" w:lineRule="auto"/>
            </w:pPr>
            <w:r>
              <w:rPr>
                <w:rFonts w:ascii="Arial" w:hAnsi="Arial" w:eastAsia="Arial" w:cs="Arial"/>
              </w:rPr>
              <w:t xml:space="preserve">Comunidade Assistencial Irmãos de Emaús</w:t>
            </w:r>
          </w:p>
        </w:tc>
        <w:tc>
          <w:tcPr>
            <w:noWrap/>
          </w:tcPr>
          <w:p>
            <w:pPr>
              <w:jc w:val="start"/>
              <w:spacing w:line="360" w:lineRule="auto"/>
            </w:pPr>
            <w:r>
              <w:rPr>
                <w:rFonts w:ascii="Arial" w:hAnsi="Arial" w:eastAsia="Arial" w:cs="Arial"/>
              </w:rPr>
              <w:t xml:space="preserve">R$ 4.600,00</w:t>
            </w:r>
          </w:p>
        </w:tc>
      </w:tr>
      <w:tr>
        <w:trPr/>
        <w:tc>
          <w:tcPr>
            <w:noWrap/>
          </w:tcPr>
          <w:p>
            <w:pPr>
              <w:jc w:val="start"/>
              <w:spacing w:line="360" w:lineRule="auto"/>
            </w:pPr>
            <w:r>
              <w:rPr>
                <w:rFonts w:ascii="Arial" w:hAnsi="Arial" w:eastAsia="Arial" w:cs="Arial"/>
              </w:rPr>
              <w:t xml:space="preserve">TOTAL</w:t>
            </w:r>
          </w:p>
        </w:tc>
        <w:tc>
          <w:tcPr>
            <w:noWrap/>
          </w:tcPr>
          <w:p>
            <w:pPr>
              <w:jc w:val="start"/>
              <w:spacing w:line="360" w:lineRule="auto"/>
            </w:pPr>
            <w:r>
              <w:rPr>
                <w:rFonts w:ascii="Arial" w:hAnsi="Arial" w:eastAsia="Arial" w:cs="Arial"/>
              </w:rPr>
              <w:t xml:space="preserve">R$ 10.820,00</w:t>
            </w:r>
          </w:p>
        </w:tc>
      </w:tr>
    </w:tbl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2º</w:t>
      </w:r>
      <w:r>
        <w:rPr>
          <w:rFonts w:ascii="Arial" w:hAnsi="Arial" w:eastAsia="Arial" w:cs="Arial"/>
        </w:rPr>
        <w:t xml:space="preserve"> Fica o Poder Executivo autorizado a abrir crédito adicional suplementar na Secretaria Municipal de Finanças e Controladoria, no valor de R$ 10.820,00 (dez mil, oitocentos e vinte reais) destinados a suplementar o seguinte crédito orçamentário 02.14.01 082410030.2.060 3.3.50.43 – Subvenções Sociais.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Parágrafo único.</w:t>
      </w:r>
      <w:r>
        <w:rPr>
          <w:rFonts w:ascii="Arial" w:hAnsi="Arial" w:eastAsia="Arial" w:cs="Arial"/>
        </w:rPr>
        <w:t xml:space="preserve"> A cobertura do crédito autorizado pelo artigo 1º será efetuada mediante a utilização dos recursos nos termos previstos no artigo 43, § 1º, inciso II da </w:t>
      </w:r>
      <w:r>
        <w:rPr>
          <w:rFonts w:ascii="Arial" w:hAnsi="Arial" w:eastAsia="Arial" w:cs="Arial"/>
        </w:rPr>
        <w:t xml:space="preserve">Lei Federal nº 4.320/64</w:t>
      </w:r>
      <w:r>
        <w:rPr>
          <w:rFonts w:ascii="Arial" w:hAnsi="Arial" w:eastAsia="Arial" w:cs="Arial"/>
        </w:rPr>
        <w:t xml:space="preserve">, sendo a fonte proveniente do Termo de Aditamento celebrado entre o Governo do Estado de São Paulo, por intermédio da Secretaria Estadual de Assistência e Desenvolvimento Social e Prefeitura do Município.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3º</w:t>
      </w:r>
      <w:r>
        <w:rPr>
          <w:rFonts w:ascii="Arial" w:hAnsi="Arial" w:eastAsia="Arial" w:cs="Arial"/>
        </w:rPr>
        <w:t xml:space="preserve"> Ficam obrigadas as entidades a prestar contas nos termos da legislação vigente.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4º</w:t>
      </w:r>
      <w:r>
        <w:rPr>
          <w:rFonts w:ascii="Arial" w:hAnsi="Arial" w:eastAsia="Arial" w:cs="Arial"/>
        </w:rPr>
        <w:t xml:space="preserve"> Esta Lei entrará em vigor na data de sua publicação.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Paço Municipal "Dr. Tancredo de Almeida Neves", 12 de dezembro de 2007.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CARLOS EDUARDO PIGNATARI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Prefeito Municipal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Publicada e registrada na Divisão de Expediente Administrativo e Legislativo da Prefeitura Municipal, data supra.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MARIA IZABEL RAMALHO DE OLIVEIRA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Diretor da Divisão</w:t>
      </w:r>
    </w:p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https://camaravotuporanga.sp.gov.br/legislacao/4331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28/06/2026 22:20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2026-06-28T22:20:03-03:00</dcterms:created>
  <dcterms:modified xsi:type="dcterms:W3CDTF">2026-06-28T22:20:03-03:00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