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4.824/2010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2010 · Data 01/09/2010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AUTORIZA O PODER EXECUTIVO A CONCEDER SUBVENÇÃO SOCIAL A ENTIDADE QUE ESPECIFICA E DÁ OUTRAS PROVIDÊNCIAS.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4.824, DE 1 DE SETEMBRO DE 2010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(AUTORIZA O PODER EXECUTIVO A CONCEDER SUBVENÇÃO SOCIAL A ENTIDADE QUE ESPECIFICA E DÁ OUTRAS PROVIDÊNCIAS.)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EU, NOS TERMOS DO ARTIGO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Fica o Poder Executivo autorizado a conceder subvenção social a SANTA CASA DE MISERICÓRDIA DE VOTUPORANGA, no valor de R$ 750.000,00 (setecentos e cinquenta mil reais), em até 05 (cinco) parcelas.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Fica ainda o Poder Executivo autorizado a adequar os anexos II e III da </w:t>
      </w:r>
      <w:r>
        <w:rPr>
          <w:rFonts w:ascii="Arial" w:hAnsi="Arial" w:eastAsia="Arial" w:cs="Arial"/>
        </w:rPr>
        <w:t xml:space="preserve">Lei n° 4.629, de 01 de julho de 2009</w:t>
      </w:r>
      <w:r>
        <w:rPr>
          <w:rFonts w:ascii="Arial" w:hAnsi="Arial" w:eastAsia="Arial" w:cs="Arial"/>
        </w:rPr>
        <w:t xml:space="preserve">, Plano Plurianual para o exercício de 2010 a 2013.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3°</w:t>
      </w:r>
      <w:r>
        <w:rPr>
          <w:rFonts w:ascii="Arial" w:hAnsi="Arial" w:eastAsia="Arial" w:cs="Arial"/>
        </w:rPr>
        <w:t xml:space="preserve"> Fica o Poder Executivo autorizado a adequar os Anexos V e VI da </w:t>
      </w:r>
      <w:r>
        <w:rPr>
          <w:rFonts w:ascii="Arial" w:hAnsi="Arial" w:eastAsia="Arial" w:cs="Arial"/>
        </w:rPr>
        <w:t xml:space="preserve">Lei 4.630, de 01 de julho de 2009</w:t>
      </w:r>
      <w:r>
        <w:rPr>
          <w:rFonts w:ascii="Arial" w:hAnsi="Arial" w:eastAsia="Arial" w:cs="Arial"/>
        </w:rPr>
        <w:t xml:space="preserve">, Lei de Diretrizes Orçamentárias para o exercício de 2010.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4º</w:t>
      </w:r>
      <w:r>
        <w:rPr>
          <w:rFonts w:ascii="Arial" w:hAnsi="Arial" w:eastAsia="Arial" w:cs="Arial"/>
        </w:rPr>
        <w:t xml:space="preserve"> Fica o Poder Executivo autorizado a abrir crédito adicional suplementar na Prefeitura do Município de Votuporanga no valor de R$ 450.000,00 (quatrocentos e cinquenta mil reais) destinados a: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ÓRGÃO – 02 - PREFEITURA MUNICIPAL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Unidade Orçamentária – 14 - Secretaria Municipal de Saúde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Unidade Executora – 01 – Fundo Municipal de Saude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3.3.00.00 Outras Despesas Correntes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3.3.50.00 Transferências a Instituições privadas sem fins lucrativos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3.3.50.43 103010037.2.014 Subvenções Sociais..............................R$ 450.000,00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Fonte de Recurso 01 - Tesouro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5º</w:t>
      </w:r>
      <w:r>
        <w:rPr>
          <w:rFonts w:ascii="Arial" w:hAnsi="Arial" w:eastAsia="Arial" w:cs="Arial"/>
        </w:rPr>
        <w:t xml:space="preserve"> A cobertura do crédito autorizado pelo artigo 4º será efetuada mediante a utilização dos recursos nos termos previstos no artigo 43, § 1º, inciso II da </w:t>
      </w:r>
      <w:r>
        <w:rPr>
          <w:rFonts w:ascii="Arial" w:hAnsi="Arial" w:eastAsia="Arial" w:cs="Arial"/>
        </w:rPr>
        <w:t xml:space="preserve">Lei Federal nº 4.320/64</w:t>
      </w:r>
      <w:r>
        <w:rPr>
          <w:rFonts w:ascii="Arial" w:hAnsi="Arial" w:eastAsia="Arial" w:cs="Arial"/>
        </w:rPr>
        <w:t xml:space="preserve">, considerando-se ainda, a tendência do exercício.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6º</w:t>
      </w:r>
      <w:r>
        <w:rPr>
          <w:rFonts w:ascii="Arial" w:hAnsi="Arial" w:eastAsia="Arial" w:cs="Arial"/>
        </w:rPr>
        <w:t xml:space="preserve"> Fica a entidade obrigada a prestar contas até 31 de janeiro do ano subseqüente ao recebimento do recurso.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7º</w:t>
      </w:r>
      <w:r>
        <w:rPr>
          <w:rFonts w:ascii="Arial" w:hAnsi="Arial" w:eastAsia="Arial" w:cs="Arial"/>
        </w:rPr>
        <w:t xml:space="preserve"> Esta lei será regulamentada por decreto do Poder Executivo no que couber.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8º</w:t>
      </w:r>
      <w:r>
        <w:rPr>
          <w:rFonts w:ascii="Arial" w:hAnsi="Arial" w:eastAsia="Arial" w:cs="Arial"/>
        </w:rPr>
        <w:t xml:space="preserve"> Esta lei entrará em vigor na data de sua publicação.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Municipal, “Dr. Tancredo de Almeida Neves”, 1º de setembro de 2010.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NASSER MARÃO FILHO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MARIA IZABEL RAMALHO DE OLIVEIRA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Diretora da Divisão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Esta Lei sofreu Emenda da Comissão de Justiça e Redação da Câmara Municipal.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https://camaravotuporanga.sp.gov.br/legislacao/4826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27/06/2026 07:01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2026-06-27T07:01:49-03:00</dcterms:created>
  <dcterms:modified xsi:type="dcterms:W3CDTF">2026-06-27T07:01:49-03:00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