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COMPLEMENTAR Nº 228/2013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2013 · Data 22/02/2013 · Status ALTERADA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O PLANO DE PROMOÇÃO DOS SERVIDORES PÚBLICOS MUNICIPAIS DA CÂMARA MUNICIPAL.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COMPLEMENTAR Nº 228, DE 22 DE FEVEREIRO DE 2013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23/02/2013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O PLANO DE PROMOÇÃO DOS SERVIDORES PÚBLICOS MUNICIPAIS DA CÂMARA MUNICIPAL.)</w:t>
      </w:r>
    </w:p>
    <w:p>
      <w:pPr>
        <w:jc w:val="both"/>
      </w:pPr>
      <w:r>
        <w:rPr>
          <w:rFonts w:ascii="Arial" w:hAnsi="Arial" w:eastAsia="Arial" w:cs="Arial"/>
        </w:rPr>
        <w:t xml:space="preserve">FAÇO SABER QUE A CÂMARA MUNICIPAL DE VOTUPORANGA APROVOU E EU, NOS TERMOS DO ART.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1°</w:t>
      </w:r>
      <w:r>
        <w:rPr>
          <w:rFonts w:ascii="Arial" w:hAnsi="Arial" w:eastAsia="Arial" w:cs="Arial"/>
        </w:rPr>
        <w:t xml:space="preserve"> Esta lei complementar dispõe sobre a promoção dos servidores públicos municipais da Câmara Municipal.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A promoção será exclusivamente por tempo de serviço, consistindo na passagem do servidor, de um grau para o imediatamente superior, dentro do padrão de vencimento correspondente ao seu cargo, e ocorrerá no mês subsequente em que obtiver o tempo mencionado nesta lei complementar.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</w:t>
      </w:r>
      <w:r>
        <w:rPr>
          <w:rFonts w:ascii="Arial" w:hAnsi="Arial" w:eastAsia="Arial" w:cs="Arial"/>
        </w:rPr>
        <w:t xml:space="preserve"> A promoção far-se-á por ato próprio, obedecendo-se o critério de efetivo exercício no serviço público local.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1º</w:t>
      </w:r>
      <w:r>
        <w:rPr>
          <w:rFonts w:ascii="Arial" w:hAnsi="Arial" w:eastAsia="Arial" w:cs="Arial"/>
        </w:rPr>
        <w:t xml:space="preserve"> Terão direito à promoção de que trata este artigo, todos os servidores públicos municipais, exceto os ocupantes de cargos em comissão e os contratados por prazo determinado, nos termos da </w:t>
      </w:r>
      <w:r>
        <w:rPr>
          <w:rFonts w:ascii="Arial" w:hAnsi="Arial" w:eastAsia="Arial" w:cs="Arial"/>
        </w:rPr>
        <w:t xml:space="preserve">Lei Municipal nº 2.766, de 05 de maio de 1.995</w:t>
      </w:r>
      <w:r>
        <w:rPr>
          <w:rFonts w:ascii="Arial" w:hAnsi="Arial" w:eastAsia="Arial" w:cs="Arial"/>
        </w:rPr>
        <w:t xml:space="preserve">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2º</w:t>
      </w:r>
      <w:r>
        <w:rPr>
          <w:rFonts w:ascii="Arial" w:hAnsi="Arial" w:eastAsia="Arial" w:cs="Arial"/>
        </w:rPr>
        <w:t xml:space="preserve"> O servidor que eventualmente vier a ocupar cargo em comissão terá ao retornar ao cargo de provimento efetivo, a contagem de tempo de serviço, para todos os fins.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4º</w:t>
      </w:r>
      <w:r>
        <w:rPr>
          <w:rFonts w:ascii="Arial" w:hAnsi="Arial" w:eastAsia="Arial" w:cs="Arial"/>
        </w:rPr>
        <w:t xml:space="preserve"> Os interstícios de permanência para fins de promoção, computado sempre o tempo de efetivo exercício do servidor no nível de referência em que estiver enquadrado, serão de: 3 (três) anos no Grau I; 3 (três) anos no Grau II; 3 (três) anos no Grau III; 4 (quatro) anos no Grau IV; 5 (cinco) anos no Grau V; 5 (cinco) anos no Grau VI; 6 (seis) anos no Grau VII e 6 (seis) anos no Grau VIII.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Parágrafo único.</w:t>
      </w:r>
      <w:r>
        <w:rPr>
          <w:rFonts w:ascii="Arial" w:hAnsi="Arial" w:eastAsia="Arial" w:cs="Arial"/>
        </w:rPr>
        <w:t xml:space="preserve"> Interromper-se-á o interstício quando o servidor estiver afastado para ter exercício em cargo ou função de natureza diversa daquela de que é ocupante, exceto quando: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- for nomeado para o exercício de cargo em comissão;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- estiver afastado junto a órgãos da Administração Autárquica ou Fundacional do Município;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III - estiver afastado para frequentar cursos específicos, de interesse da administração;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IV - estiver afastado sem prejuízo de vencimentos, para participar de cursos, congressos ou demais certames afetos à respectiva área de atuação, pelo prazo máximo de 90 (noventa) dias.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5º</w:t>
      </w:r>
      <w:r>
        <w:rPr>
          <w:rFonts w:ascii="Arial" w:hAnsi="Arial" w:eastAsia="Arial" w:cs="Arial"/>
        </w:rPr>
        <w:t xml:space="preserve"> Os servidores serão indistintamente enquadrados nos cargos ou empregos através de ato próprio, nos respectivos graus, de conformidade com o tempo de serviço público municipal local.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1º</w:t>
      </w:r>
      <w:r>
        <w:rPr>
          <w:rFonts w:ascii="Arial" w:hAnsi="Arial" w:eastAsia="Arial" w:cs="Arial"/>
        </w:rPr>
        <w:t xml:space="preserve"> Para efeito de enquadramento não serão considerados como de efetivo exercício: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- faltas injustificadas;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- suspensão disciplinar;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III - licença para tratamento da própria saúde, que exceder o limite de 2 (dois) anos, cumulativos ao longo do tempo de serviço público municipal, exceto se por acidente de trabalho ou doença profissional;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IV - licença por motivo de tratamento de saúde em pessoa da família;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V - exercício de cargo ou função nos governos federal, estadual ou qualquer outro Município;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VI - pena de prisão;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VII - qualquer afastamento não remunerado.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2º</w:t>
      </w:r>
      <w:r>
        <w:rPr>
          <w:rFonts w:ascii="Arial" w:hAnsi="Arial" w:eastAsia="Arial" w:cs="Arial"/>
        </w:rPr>
        <w:t xml:space="preserve"> Os benefícios constantes do “caput” deste artigo, serão também, concedidos aos servidores inativos, obedecendo-se os mesmos critérios.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3º</w:t>
      </w:r>
      <w:r>
        <w:rPr>
          <w:rFonts w:ascii="Arial" w:hAnsi="Arial" w:eastAsia="Arial" w:cs="Arial"/>
        </w:rPr>
        <w:t xml:space="preserve"> Ao servidor público aprovado em concurso para novo cargo, o enquadramento será feito no mesmo grau em que se encontrava.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6º</w:t>
      </w:r>
      <w:r>
        <w:rPr>
          <w:rFonts w:ascii="Arial" w:hAnsi="Arial" w:eastAsia="Arial" w:cs="Arial"/>
        </w:rPr>
        <w:t xml:space="preserve"> Os servidores públicos da Câmara Municipal serão regidos pelo regime jurídico estatutário de que trata a </w:t>
      </w:r>
      <w:r>
        <w:rPr>
          <w:rFonts w:ascii="Arial" w:hAnsi="Arial" w:eastAsia="Arial" w:cs="Arial"/>
        </w:rPr>
        <w:t xml:space="preserve">Lei Complementar Municipal nº 187, de 30 de agosto de 2011</w:t>
      </w:r>
      <w:r>
        <w:rPr>
          <w:rFonts w:ascii="Arial" w:hAnsi="Arial" w:eastAsia="Arial" w:cs="Arial"/>
        </w:rPr>
        <w:t xml:space="preserve"> e vinculados ao Instituto de Previdência do Município – VOTUPREV.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7º</w:t>
      </w:r>
      <w:r>
        <w:rPr>
          <w:rFonts w:ascii="Arial" w:hAnsi="Arial" w:eastAsia="Arial" w:cs="Arial"/>
        </w:rPr>
        <w:t xml:space="preserve"> Esta lei complementar entrará em vigor na data de sua publicação, retroagindo seus efeitos a 1º de fevereiro de 2.013.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22 de fevereiro de 2013.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complementar teve origem no projeto de Lei Complementar nº 0005/2013 de autoria da Mesa da Câmara Municipal.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https://camaravotuporanga.sp.gov.br/legislacao/7409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04/06/2026 23:35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2026-06-04T23:35:20-03:00</dcterms:created>
  <dcterms:modified xsi:type="dcterms:W3CDTF">2026-06-04T23:35:20-03:00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