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DUODÉCIMO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CONSULTA SEM FILTROS — TODOS OS LANÇAMENTOS PÚBLICOS.</w:t>
      </w:r>
    </w:p>
    <w:p>
      <w:pPr>
        <w:pStyle w:val="InstKicker"/>
      </w:pPr>
      <w:r>
        <w:rPr>
          <w:rFonts w:ascii="Arial" w:hAnsi="Arial" w:eastAsia="Arial" w:cs="Arial"/>
          <w:color w:val="0D9488"/>
          <w:sz w:val="16"/>
          <w:szCs w:val="16"/>
          <w:b w:val="1"/>
          <w:bCs w:val="1"/>
        </w:rPr>
        <w:t xml:space="preserve">213 LANÇAMENTO(S) ENCONTRADO(S)</w:t>
      </w:r>
    </w:p>
    <w:p>
      <w:pPr>
        <w:pStyle w:val="InstKicker"/>
      </w:pPr>
      <w:r>
        <w:rPr>
          <w:rFonts w:ascii="Arial" w:hAnsi="Arial" w:eastAsia="Arial" w:cs="Arial"/>
          <w:color w:val="64748B"/>
          <w:sz w:val="14"/>
          <w:szCs w:val="14"/>
          <w:b w:val="1"/>
          <w:bCs w:val="1"/>
        </w:rPr>
        <w:t xml:space="preserve">INDICADORES DE DUODÉCIMO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PREVISTO: R$ 88.712.150,00 · RECEBIDO: R$ 89.106.150,00 · DEVOLVIDO: R$ 8.272.403,28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0"/>
          <w:szCs w:val="20"/>
        </w:rPr>
        <w:t xml:space="preserve">• DIFERENÇA: R$ 7.878.403,28 · LANÇAMENTOS: 213 · MESES: 163</w:t>
      </w:r>
    </w:p>
    <w:tbl>
      <w:tblGrid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  <w:gridCol w:w="1800" w:type="dxa"/>
      </w:tblGrid>
      <w:tblPr>
        <w:tblStyle w:val="InstDataTable"/>
      </w:tblPr>
      <w:tr>
        <w:trPr/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EXERCÍCIO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MÊS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PAGADORA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RECEBEDORA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PREVISTO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RECEBIDO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DEVOLUÇÃO</w:t>
            </w:r>
          </w:p>
        </w:tc>
        <w:tc>
          <w:tcPr>
            <w:tcW w:w="1800" w:type="dxa"/>
            <w:vAlign w:val="center"/>
            <w:noWrap/>
          </w:tcPr>
          <w:p>
            <w:pPr>
              <w:jc w:val="start"/>
              <w:spacing w:after="0"/>
            </w:pPr>
            <w:r>
              <w:rPr>
                <w:rFonts w:ascii="Arial" w:hAnsi="Arial" w:eastAsia="Arial" w:cs="Arial"/>
                <w:color w:val="475569"/>
                <w:sz w:val="14"/>
                <w:szCs w:val="14"/>
                <w:b w:val="1"/>
                <w:bCs w:val="1"/>
              </w:rPr>
              <w:t xml:space="preserve">DATA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29/07/2026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06/01/2026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R$ 834.000,00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R$ 129.955,36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29/10/2025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25/09/2025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18/07/2025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07/01/2025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R$ 641.750,00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R$ 305.291,25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R$ 120.000,00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25/11/2024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24/09/2024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19/04/2024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05/01/2024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R$ 554.250,00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19/01/2024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14/12/2023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R$ 456.630,95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27/11/2023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21/11/2023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25/09/2023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25/07/2023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17/02/2023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R$ 80.000,00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05/01/2023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R$ 677.750,00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R$ 597.750,00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R$ 393.795,87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18/02/2022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05/01/2022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R$ 633.000,00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R$ 583.000,00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20/01/2022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R$ 175.441,28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08/11/2021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19/11/2021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R$ 498.650,00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19/03/2021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05/01/2021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2021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R$ 466.250,00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R$ 416.250,00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21/01/2021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R$ 666.239,14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18/09/2020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08/01/2020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2020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R$ 459.500,00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20/01/2020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R$ 21.899,83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16/12/2019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07/01/2019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2019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R$ 532.750,00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R$ 482.750,00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18/01/2019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R$ 986.847,66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21/12/2018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19/10/2018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18/05/2018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11/01/2018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2018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R$ 446.083,33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19/01/2018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R$ 71.185,82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10/08/2017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18/08/2017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19/05/2017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06/01/2017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R$ 497.500,00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R$ 447.500,00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20/01/2017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R$ 140.572,60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28/12/2016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20/12/2016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R$ 65.000,00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22/11/2016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18/11/2016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16/09/2016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20/09/2016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19/08/2016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31/05/2016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20/04/2016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18/03/2016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19/02/2016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05/01/2016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2016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R$ 524.500,00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R$ 474.500,00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20/01/2016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22/12/2015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R$ 23.544,87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18/12/2015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18/09/2015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R$ 70.000,00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05/08/2015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R$ 200.000,00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23/07/2015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20/07/2015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19/06/2015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R$ 437.679,17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R$ 14.000,00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24/03/2015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07/01/2015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2015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R$ 423.679,17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R$ 373.679,17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20/01/2015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R$ 290.000,00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23/12/2014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R$ 6.840,37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29/12/2014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19/12/2014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20/10/2014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17/07/2014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18/06/2014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17/04/2014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20/03/2014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20/02/2014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13/01/2014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2014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R$ 376.916,67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R$ 326.916,67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20/01/2014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R$ 59.158,28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30/12/2013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DEZEMBRO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17/12/2013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NOVEMBRO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20/11/2013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OUTUBRO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18/10/2013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SETEMBRO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19/09/2013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AGOSTO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20/08/2013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JULHO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19/07/2013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JUNHO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20/06/2013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MAIO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20/05/2013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ABRIL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18/04/2013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MARÇO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15/03/2013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FEVEREIRO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13/02/2013</w:t>
            </w:r>
          </w:p>
        </w:tc>
      </w:tr>
      <w:tr>
        <w:trPr/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R$ 50.000,00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09/01/2013</w:t>
            </w:r>
          </w:p>
        </w:tc>
      </w:tr>
      <w:tr>
        <w:trPr/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2013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JANEIRO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PREFEITURA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CÂMARA MUNICIPAL DE VOTUPORANGA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R$ 313.916,67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R$ 263.916,67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R$ 0,00</w:t>
            </w:r>
          </w:p>
        </w:tc>
        <w:tc>
          <w:tcPr>
            <w:tcW w:w="1800" w:type="dxa"/>
            <w:vAlign w:val="top"/>
            <w:shd w:val="clear" w:fill="F9FAFB"/>
            <w:noWrap/>
          </w:tcPr>
          <w:p>
            <w:pPr>
              <w:pStyle w:val="InstTableCell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17/01/2013</w:t>
            </w:r>
          </w:p>
        </w:tc>
      </w:tr>
    </w:tbl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https://camaravotuporanga.sp.gov.br/transparencia/duodecimo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14/08/2026 15:28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2026-08-14T15:28:30-03:00</dcterms:created>
  <dcterms:modified xsi:type="dcterms:W3CDTF">2026-08-14T15:28:30-03:00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